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34873" w14:textId="77777777" w:rsidR="00D5100A" w:rsidRPr="008A7D4D" w:rsidRDefault="00D5100A" w:rsidP="00D5100A">
      <w:pPr>
        <w:pStyle w:val="Nadpis11"/>
        <w:spacing w:after="120"/>
        <w:jc w:val="center"/>
        <w:rPr>
          <w:rFonts w:ascii="Arial" w:eastAsia="Times New Roman" w:hAnsi="Arial" w:cs="Arial"/>
          <w:b/>
          <w:sz w:val="26"/>
          <w:szCs w:val="26"/>
        </w:rPr>
      </w:pPr>
      <w:commentRangeStart w:id="0"/>
      <w:r w:rsidRPr="008A7D4D">
        <w:rPr>
          <w:rFonts w:ascii="Arial" w:eastAsia="Times New Roman" w:hAnsi="Arial" w:cs="Arial"/>
          <w:b/>
          <w:sz w:val="26"/>
          <w:szCs w:val="26"/>
        </w:rPr>
        <w:t xml:space="preserve">POLITIKA </w:t>
      </w:r>
      <w:bookmarkStart w:id="1" w:name="_Hlk65587964"/>
      <w:r w:rsidRPr="008A7D4D">
        <w:rPr>
          <w:rFonts w:ascii="Arial" w:eastAsia="Times New Roman" w:hAnsi="Arial" w:cs="Arial"/>
          <w:b/>
          <w:sz w:val="26"/>
          <w:szCs w:val="26"/>
        </w:rPr>
        <w:t>INTEGRACE RIZIK UDRŽITELNOSTI</w:t>
      </w:r>
      <w:bookmarkEnd w:id="1"/>
      <w:commentRangeEnd w:id="0"/>
      <w:r>
        <w:rPr>
          <w:rStyle w:val="CommentReference"/>
          <w:rFonts w:ascii="Tahoma" w:eastAsiaTheme="minorHAnsi" w:hAnsi="Tahoma" w:cs="Tahoma"/>
        </w:rPr>
        <w:commentReference w:id="0"/>
      </w:r>
    </w:p>
    <w:p w14:paraId="7EDF3E5D" w14:textId="78F16EC3" w:rsidR="00D5100A" w:rsidRPr="008A7D4D" w:rsidRDefault="00CF4D1B" w:rsidP="00D5100A">
      <w:pPr>
        <w:pStyle w:val="Nadpis11"/>
        <w:spacing w:after="120"/>
        <w:jc w:val="center"/>
        <w:rPr>
          <w:rFonts w:ascii="Arial" w:eastAsia="Times New Roman" w:hAnsi="Arial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6"/>
          <w:szCs w:val="26"/>
        </w:rPr>
        <w:t>RSBC</w:t>
      </w:r>
      <w:r w:rsidR="00027C71">
        <w:rPr>
          <w:rFonts w:ascii="Arial" w:eastAsia="Times New Roman" w:hAnsi="Arial" w:cs="Arial"/>
          <w:b/>
          <w:sz w:val="26"/>
          <w:szCs w:val="26"/>
        </w:rPr>
        <w:t xml:space="preserve"> </w:t>
      </w:r>
      <w:r w:rsidR="00D5100A">
        <w:rPr>
          <w:rFonts w:ascii="Arial" w:eastAsia="Times New Roman" w:hAnsi="Arial" w:cs="Arial"/>
          <w:b/>
          <w:sz w:val="26"/>
          <w:szCs w:val="26"/>
        </w:rPr>
        <w:t>investiční společnost, a.s.</w:t>
      </w:r>
    </w:p>
    <w:p w14:paraId="556866C7" w14:textId="77777777" w:rsidR="00D5100A" w:rsidRPr="00AA56D4" w:rsidRDefault="00D5100A" w:rsidP="00D5100A">
      <w:pPr>
        <w:pStyle w:val="Nadpis11"/>
        <w:numPr>
          <w:ilvl w:val="0"/>
          <w:numId w:val="1"/>
        </w:numPr>
        <w:spacing w:before="240" w:after="120"/>
        <w:ind w:left="567" w:hanging="567"/>
        <w:jc w:val="both"/>
        <w:rPr>
          <w:rFonts w:ascii="Arial" w:hAnsi="Arial" w:cs="Arial"/>
          <w:b/>
          <w:sz w:val="21"/>
          <w:szCs w:val="21"/>
        </w:rPr>
      </w:pPr>
      <w:r w:rsidRPr="00AA56D4">
        <w:rPr>
          <w:rFonts w:ascii="Arial" w:hAnsi="Arial" w:cs="Arial"/>
          <w:b/>
          <w:sz w:val="21"/>
          <w:szCs w:val="21"/>
        </w:rPr>
        <w:t>Úvod</w:t>
      </w:r>
    </w:p>
    <w:p w14:paraId="213BB6D6" w14:textId="1C1646AC" w:rsidR="00D5100A" w:rsidRPr="001E3BB6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Společnost</w:t>
      </w:r>
      <w:r w:rsidRPr="001E3BB6">
        <w:rPr>
          <w:rFonts w:ascii="Arial" w:hAnsi="Arial" w:cs="Arial"/>
          <w:sz w:val="21"/>
          <w:szCs w:val="21"/>
        </w:rPr>
        <w:t xml:space="preserve"> si je vědoma skutečnosti, že to, jakým způsobem investuje, může mít důsledky i pro oblast udržitelnosti, která je významná pro stávající i budoucí generace. Z toho důvodu nabízí </w:t>
      </w:r>
      <w:r>
        <w:rPr>
          <w:rFonts w:ascii="Arial" w:hAnsi="Arial" w:cs="Arial"/>
          <w:sz w:val="21"/>
          <w:szCs w:val="21"/>
        </w:rPr>
        <w:t>Společnost</w:t>
      </w:r>
      <w:r w:rsidRPr="001E3BB6">
        <w:rPr>
          <w:rFonts w:ascii="Arial" w:hAnsi="Arial" w:cs="Arial"/>
          <w:sz w:val="21"/>
          <w:szCs w:val="21"/>
        </w:rPr>
        <w:t xml:space="preserve"> široké spektrum investic, které umožňuje investorům reflektovat jejich hodnoty i při takové činnosti, kterou je investování. </w:t>
      </w:r>
    </w:p>
    <w:p w14:paraId="0AE201B8" w14:textId="226488AC" w:rsidR="00D5100A" w:rsidRPr="008A7D4D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Tato Politika integrace rizik udržitelnosti (dále též jen „</w:t>
      </w:r>
      <w:r w:rsidRPr="008A7D4D">
        <w:rPr>
          <w:rFonts w:ascii="Arial" w:hAnsi="Arial" w:cs="Arial"/>
          <w:b/>
          <w:sz w:val="21"/>
          <w:szCs w:val="21"/>
        </w:rPr>
        <w:t>Politika</w:t>
      </w:r>
      <w:r w:rsidRPr="008A7D4D">
        <w:rPr>
          <w:rFonts w:ascii="Arial" w:hAnsi="Arial" w:cs="Arial"/>
          <w:sz w:val="21"/>
          <w:szCs w:val="21"/>
        </w:rPr>
        <w:t xml:space="preserve">“) upravuje zásady, které </w:t>
      </w:r>
      <w:r w:rsidRPr="00D5100A"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uplatňuje při začleňování rizik udržitelnosti do investičního procesu.</w:t>
      </w:r>
    </w:p>
    <w:p w14:paraId="1B689862" w14:textId="1BDD339F" w:rsidR="00D5100A" w:rsidRPr="008A7D4D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Tato Politika je zpřístupněna zájemcům o nabytí a vlastníkům cenných papírů vydávaných fondy obhospodařovanými</w:t>
      </w:r>
      <w:r>
        <w:rPr>
          <w:rFonts w:ascii="Arial" w:hAnsi="Arial" w:cs="Arial"/>
          <w:sz w:val="21"/>
          <w:szCs w:val="21"/>
        </w:rPr>
        <w:t xml:space="preserve"> Společnost </w:t>
      </w:r>
      <w:r w:rsidRPr="008A7D4D">
        <w:rPr>
          <w:rFonts w:ascii="Arial" w:hAnsi="Arial" w:cs="Arial"/>
          <w:sz w:val="21"/>
          <w:szCs w:val="21"/>
        </w:rPr>
        <w:t>(dále jen „</w:t>
      </w:r>
      <w:r w:rsidRPr="008A7D4D">
        <w:rPr>
          <w:rFonts w:ascii="Arial" w:hAnsi="Arial" w:cs="Arial"/>
          <w:b/>
          <w:bCs/>
          <w:sz w:val="21"/>
          <w:szCs w:val="21"/>
        </w:rPr>
        <w:t>Fondy</w:t>
      </w:r>
      <w:r w:rsidRPr="008A7D4D">
        <w:rPr>
          <w:rFonts w:ascii="Arial" w:hAnsi="Arial" w:cs="Arial"/>
          <w:sz w:val="21"/>
          <w:szCs w:val="21"/>
        </w:rPr>
        <w:t>“)</w:t>
      </w:r>
      <w:r>
        <w:rPr>
          <w:rFonts w:ascii="Arial" w:hAnsi="Arial" w:cs="Arial"/>
          <w:sz w:val="21"/>
          <w:szCs w:val="21"/>
        </w:rPr>
        <w:t xml:space="preserve"> </w:t>
      </w:r>
      <w:r w:rsidRPr="008A7D4D">
        <w:rPr>
          <w:rFonts w:ascii="Arial" w:hAnsi="Arial" w:cs="Arial"/>
          <w:sz w:val="21"/>
          <w:szCs w:val="21"/>
        </w:rPr>
        <w:t xml:space="preserve">na internetových stránkách </w:t>
      </w: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</w:t>
      </w:r>
      <w:r>
        <w:rPr>
          <w:rFonts w:cs="Calibri"/>
        </w:rPr>
        <w:t>[●]</w:t>
      </w:r>
      <w:r w:rsidRPr="008A7D4D">
        <w:rPr>
          <w:rFonts w:ascii="Arial" w:hAnsi="Arial" w:cs="Arial"/>
          <w:sz w:val="21"/>
          <w:szCs w:val="21"/>
        </w:rPr>
        <w:t>.</w:t>
      </w:r>
    </w:p>
    <w:p w14:paraId="2B95EE39" w14:textId="77777777" w:rsidR="00D5100A" w:rsidRPr="008A7D4D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„</w:t>
      </w:r>
      <w:r w:rsidRPr="008A7D4D">
        <w:rPr>
          <w:rFonts w:ascii="Arial" w:hAnsi="Arial" w:cs="Arial"/>
          <w:b/>
          <w:bCs/>
          <w:sz w:val="21"/>
          <w:szCs w:val="21"/>
        </w:rPr>
        <w:t>faktory udržitelnosti</w:t>
      </w:r>
      <w:r w:rsidRPr="008A7D4D">
        <w:rPr>
          <w:rFonts w:ascii="Arial" w:hAnsi="Arial" w:cs="Arial"/>
          <w:sz w:val="21"/>
          <w:szCs w:val="21"/>
        </w:rPr>
        <w:t>“ se rozumí environmentální, sociální a zaměstnanecké otázky, dodržování lidských práv a otázky boje proti korupci a úplatkářství.</w:t>
      </w:r>
    </w:p>
    <w:p w14:paraId="31E0BE99" w14:textId="77777777" w:rsidR="00D5100A" w:rsidRPr="008A7D4D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„</w:t>
      </w:r>
      <w:r w:rsidRPr="008A7D4D">
        <w:rPr>
          <w:rFonts w:ascii="Arial" w:hAnsi="Arial" w:cs="Arial"/>
          <w:b/>
          <w:bCs/>
          <w:sz w:val="21"/>
          <w:szCs w:val="21"/>
        </w:rPr>
        <w:t>Nařízením SFDR</w:t>
      </w:r>
      <w:r w:rsidRPr="008A7D4D">
        <w:rPr>
          <w:rFonts w:ascii="Arial" w:hAnsi="Arial" w:cs="Arial"/>
          <w:sz w:val="21"/>
          <w:szCs w:val="21"/>
        </w:rPr>
        <w:t>“ se rozumí nařízení Evropského parlamentu a Rady (EU) 2019/2088 ze dne 27. listopadu 2019, o zveřejňování informací o udržitelnosti v odvětví finančních služeb, ve znění pozdějších předpisů.</w:t>
      </w:r>
    </w:p>
    <w:p w14:paraId="15FCCEC6" w14:textId="77777777" w:rsidR="00D5100A" w:rsidRPr="008A7D4D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„</w:t>
      </w:r>
      <w:bookmarkStart w:id="2" w:name="_Hlk65515078"/>
      <w:r w:rsidRPr="008A7D4D">
        <w:rPr>
          <w:rFonts w:ascii="Arial" w:hAnsi="Arial" w:cs="Arial"/>
          <w:b/>
          <w:bCs/>
          <w:sz w:val="21"/>
          <w:szCs w:val="21"/>
        </w:rPr>
        <w:t>rizikem týkajícím se udržitelnosti</w:t>
      </w:r>
      <w:r w:rsidRPr="008A7D4D">
        <w:rPr>
          <w:rFonts w:ascii="Arial" w:hAnsi="Arial" w:cs="Arial"/>
          <w:sz w:val="21"/>
          <w:szCs w:val="21"/>
        </w:rPr>
        <w:t>“ událost nebo situace v environmentální nebo sociální oblasti nebo v oblasti správy a řízení, která by v případě, že by nastala, mohla mít skutečný nebo možný významný nepříznivý dopad na hodnotu investice.</w:t>
      </w:r>
      <w:bookmarkEnd w:id="2"/>
    </w:p>
    <w:p w14:paraId="28FC5A93" w14:textId="4FC41C7E" w:rsidR="00D5100A" w:rsidRPr="00D5100A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D5100A">
        <w:rPr>
          <w:rFonts w:ascii="Arial" w:hAnsi="Arial" w:cs="Arial"/>
          <w:sz w:val="21"/>
          <w:szCs w:val="21"/>
        </w:rPr>
        <w:t>„</w:t>
      </w:r>
      <w:r w:rsidRPr="00D5100A">
        <w:rPr>
          <w:rFonts w:ascii="Arial" w:hAnsi="Arial" w:cs="Arial"/>
          <w:b/>
          <w:bCs/>
          <w:sz w:val="21"/>
          <w:szCs w:val="21"/>
        </w:rPr>
        <w:t>Společnost</w:t>
      </w:r>
      <w:r w:rsidRPr="00D5100A">
        <w:rPr>
          <w:rFonts w:ascii="Arial" w:hAnsi="Arial" w:cs="Arial"/>
          <w:sz w:val="21"/>
          <w:szCs w:val="21"/>
        </w:rPr>
        <w:t xml:space="preserve">“ se </w:t>
      </w:r>
      <w:r w:rsidR="00CF4D1B">
        <w:rPr>
          <w:rFonts w:ascii="Arial" w:hAnsi="Arial" w:cs="Arial"/>
          <w:sz w:val="21"/>
          <w:szCs w:val="21"/>
        </w:rPr>
        <w:t>RSBC</w:t>
      </w:r>
      <w:r w:rsidR="000D65FA" w:rsidRPr="00D5100A">
        <w:rPr>
          <w:rFonts w:ascii="Arial" w:hAnsi="Arial" w:cs="Arial"/>
          <w:sz w:val="21"/>
          <w:szCs w:val="21"/>
        </w:rPr>
        <w:t xml:space="preserve"> </w:t>
      </w:r>
      <w:r w:rsidRPr="00D5100A">
        <w:rPr>
          <w:rFonts w:ascii="Arial" w:hAnsi="Arial" w:cs="Arial"/>
          <w:sz w:val="21"/>
          <w:szCs w:val="21"/>
        </w:rPr>
        <w:t xml:space="preserve">investiční společnost, a.s., IČ </w:t>
      </w:r>
      <w:r w:rsidR="00CF4D1B" w:rsidRPr="00CF4D1B">
        <w:rPr>
          <w:rFonts w:ascii="Arial" w:hAnsi="Arial" w:cs="Arial"/>
          <w:sz w:val="21"/>
          <w:szCs w:val="21"/>
        </w:rPr>
        <w:t>22148019</w:t>
      </w:r>
      <w:r w:rsidRPr="00D5100A">
        <w:rPr>
          <w:rFonts w:ascii="Arial" w:hAnsi="Arial" w:cs="Arial"/>
          <w:sz w:val="21"/>
          <w:szCs w:val="21"/>
        </w:rPr>
        <w:t xml:space="preserve">, se sídlem </w:t>
      </w:r>
      <w:r w:rsidR="00CF4D1B" w:rsidRPr="00CF4D1B">
        <w:rPr>
          <w:rFonts w:ascii="Arial" w:hAnsi="Arial" w:cs="Arial"/>
          <w:sz w:val="21"/>
          <w:szCs w:val="21"/>
        </w:rPr>
        <w:t>Vyskočilova 1410/1, Michle, 140 00 Praha 4</w:t>
      </w:r>
      <w:r w:rsidRPr="00D5100A">
        <w:rPr>
          <w:rFonts w:ascii="Arial" w:hAnsi="Arial" w:cs="Arial"/>
          <w:sz w:val="21"/>
          <w:szCs w:val="21"/>
        </w:rPr>
        <w:t>.</w:t>
      </w:r>
      <w:r>
        <w:rPr>
          <w:rFonts w:ascii="Arial" w:hAnsi="Arial" w:cs="Arial"/>
          <w:sz w:val="21"/>
          <w:szCs w:val="21"/>
        </w:rPr>
        <w:t xml:space="preserve"> </w:t>
      </w:r>
      <w:r w:rsidRPr="00D5100A">
        <w:rPr>
          <w:rFonts w:ascii="Arial" w:hAnsi="Arial" w:cs="Arial"/>
          <w:sz w:val="21"/>
          <w:szCs w:val="21"/>
        </w:rPr>
        <w:t>Společnost je účastníkem finančního trhu ve smyslu čl. 2 odst. 1 Nařízení SFDR.</w:t>
      </w:r>
    </w:p>
    <w:p w14:paraId="742B83E1" w14:textId="77777777" w:rsidR="00D5100A" w:rsidRPr="00AA56D4" w:rsidRDefault="00D5100A" w:rsidP="00D5100A">
      <w:pPr>
        <w:pStyle w:val="Nadpis11"/>
        <w:numPr>
          <w:ilvl w:val="0"/>
          <w:numId w:val="2"/>
        </w:numPr>
        <w:spacing w:after="120"/>
        <w:ind w:left="567" w:hanging="567"/>
        <w:jc w:val="both"/>
        <w:rPr>
          <w:rFonts w:cs="Arial"/>
          <w:b/>
          <w:sz w:val="21"/>
          <w:szCs w:val="21"/>
        </w:rPr>
      </w:pPr>
      <w:r w:rsidRPr="00AA56D4">
        <w:rPr>
          <w:rFonts w:ascii="Arial" w:hAnsi="Arial" w:cs="Arial"/>
          <w:sz w:val="21"/>
          <w:szCs w:val="21"/>
        </w:rPr>
        <w:t>„</w:t>
      </w:r>
      <w:r w:rsidRPr="00AA56D4">
        <w:rPr>
          <w:rFonts w:ascii="Arial" w:hAnsi="Arial" w:cs="Arial"/>
          <w:b/>
          <w:bCs/>
          <w:sz w:val="21"/>
          <w:szCs w:val="21"/>
        </w:rPr>
        <w:t>udržitelnou investicí</w:t>
      </w:r>
      <w:r w:rsidRPr="00AA56D4">
        <w:rPr>
          <w:rFonts w:ascii="Arial" w:hAnsi="Arial" w:cs="Arial"/>
          <w:sz w:val="21"/>
          <w:szCs w:val="21"/>
        </w:rPr>
        <w:t xml:space="preserve">“, </w:t>
      </w:r>
      <w:bookmarkStart w:id="3" w:name="_Hlk65516307"/>
      <w:r w:rsidRPr="00AA56D4">
        <w:rPr>
          <w:rFonts w:ascii="Arial" w:hAnsi="Arial" w:cs="Arial"/>
          <w:sz w:val="21"/>
          <w:szCs w:val="21"/>
        </w:rPr>
        <w:t>se rozumí investice, jak jsou definovány v čl. 2 odst. 17 Nařízení SFDR, tj. investice do hospodářské činnosti, která přispívá k environmentálním cílům, jako jsou investice měřené například klíčovými ukazateli pro účinnost zdrojů ohledně využívání energie, energie z obnovitelných zdrojů, surovin, vody a půdy, produkce odpadů, emisí skleníkových plynů, nebo ukazateli jejího dopadu na biologickou rozmanitost a oběhové hospodářství, nebo investice do hospodářské činnosti, která přispívá k sociálním cílům, zejména investice, která přispívá k řešení nerovnosti, nebo investice podporující sociální soudržnost, sociální integraci a pracovněprávní vztahy nebo investice do lidského kapitálu nebo hospodářsky či sociálně znevýhodněných komunit, za předpokladu, že tyto investice významně nepoškozují žádný z uvedených cílů a společnosti, do nichž je investováno, dodržují postupy řádné správy a řízení, zejména ohledně řádných struktur řízení, vztahů se zaměstnanci, odměňování příslušných zaměstnanců a dodržování daňových předpisů.</w:t>
      </w:r>
      <w:bookmarkEnd w:id="3"/>
    </w:p>
    <w:p w14:paraId="446F54B6" w14:textId="0692025C" w:rsidR="00D5100A" w:rsidRPr="008A7D4D" w:rsidRDefault="00D5100A" w:rsidP="00D5100A">
      <w:pPr>
        <w:pStyle w:val="Nadpis11"/>
        <w:numPr>
          <w:ilvl w:val="0"/>
          <w:numId w:val="1"/>
        </w:numPr>
        <w:spacing w:before="240" w:after="120"/>
        <w:ind w:left="567" w:hanging="567"/>
        <w:jc w:val="both"/>
        <w:rPr>
          <w:rFonts w:ascii="Arial" w:hAnsi="Arial" w:cs="Arial"/>
          <w:b/>
          <w:sz w:val="21"/>
          <w:szCs w:val="21"/>
        </w:rPr>
      </w:pPr>
      <w:r w:rsidRPr="008A7D4D">
        <w:rPr>
          <w:rFonts w:ascii="Arial" w:hAnsi="Arial" w:cs="Arial"/>
          <w:b/>
          <w:sz w:val="21"/>
          <w:szCs w:val="21"/>
        </w:rPr>
        <w:t xml:space="preserve">Postoj </w:t>
      </w:r>
      <w:r>
        <w:rPr>
          <w:rFonts w:ascii="Arial" w:hAnsi="Arial" w:cs="Arial"/>
          <w:b/>
          <w:sz w:val="21"/>
          <w:szCs w:val="21"/>
        </w:rPr>
        <w:t>Společnost</w:t>
      </w:r>
      <w:r w:rsidRPr="008A7D4D">
        <w:rPr>
          <w:rFonts w:ascii="Arial" w:hAnsi="Arial" w:cs="Arial"/>
          <w:b/>
          <w:sz w:val="21"/>
          <w:szCs w:val="21"/>
        </w:rPr>
        <w:t xml:space="preserve"> k udržitelnému investování</w:t>
      </w:r>
    </w:p>
    <w:p w14:paraId="7E119B43" w14:textId="7AE780E4" w:rsidR="00D5100A" w:rsidRPr="008A7D4D" w:rsidRDefault="00D5100A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 xml:space="preserve">Při výběru investic je jedním z faktorů, který </w:t>
      </w: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zohledňuje i skutečnost, zda se jedná o udržitelnou investici či nikoli. Postoj </w:t>
      </w: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k míře zohledňování rizik týkajících se udržitelnosti při investičním rozhodování, závisí na charakteru daného </w:t>
      </w:r>
      <w:r>
        <w:rPr>
          <w:rFonts w:ascii="Arial" w:hAnsi="Arial" w:cs="Arial"/>
          <w:sz w:val="21"/>
          <w:szCs w:val="21"/>
        </w:rPr>
        <w:t>investičního aktiva nebo na investiční strategii konkrétního Fondu</w:t>
      </w:r>
      <w:r w:rsidRPr="008A7D4D">
        <w:rPr>
          <w:rFonts w:ascii="Arial" w:hAnsi="Arial" w:cs="Arial"/>
          <w:sz w:val="21"/>
          <w:szCs w:val="21"/>
        </w:rPr>
        <w:t>.</w:t>
      </w:r>
    </w:p>
    <w:p w14:paraId="047E4EAE" w14:textId="5BB5A4B5" w:rsidR="00D5100A" w:rsidRDefault="00D5100A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Konkrétní informace o míře zohledňování faktorů udržitelnosti nalezne investor ve statutu každého z Fondů (produktů) Společnost.</w:t>
      </w:r>
    </w:p>
    <w:p w14:paraId="727DF9D8" w14:textId="33974004" w:rsidR="00D5100A" w:rsidRPr="008A7D4D" w:rsidRDefault="009A01B7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</w:t>
      </w:r>
      <w:r w:rsidR="00D5100A" w:rsidRPr="008A7D4D">
        <w:rPr>
          <w:rFonts w:ascii="Arial" w:hAnsi="Arial" w:cs="Arial"/>
          <w:sz w:val="21"/>
          <w:szCs w:val="21"/>
        </w:rPr>
        <w:t>ři výběru investičních příležitostí (v případě Fondů, na jejichž účet investuje, při výběru cílových aktiv) hodnotí mimo jiné i to, zda cílová společnost (nebo jiné cílové aktivum) uplatňuje správné postupy správy a řízení, pokud jde</w:t>
      </w:r>
      <w:r w:rsidR="00D5100A">
        <w:rPr>
          <w:rFonts w:ascii="Arial" w:hAnsi="Arial" w:cs="Arial"/>
          <w:sz w:val="21"/>
          <w:szCs w:val="21"/>
        </w:rPr>
        <w:t>:</w:t>
      </w:r>
    </w:p>
    <w:p w14:paraId="65E6B9D2" w14:textId="77777777" w:rsidR="00D5100A" w:rsidRPr="008A7D4D" w:rsidRDefault="00D5100A" w:rsidP="00D5100A">
      <w:pPr>
        <w:pStyle w:val="Nadpis11"/>
        <w:numPr>
          <w:ilvl w:val="0"/>
          <w:numId w:val="5"/>
        </w:numPr>
        <w:spacing w:after="12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o </w:t>
      </w:r>
      <w:r w:rsidRPr="008A7D4D">
        <w:rPr>
          <w:rFonts w:ascii="Arial" w:hAnsi="Arial" w:cs="Arial"/>
          <w:sz w:val="21"/>
          <w:szCs w:val="21"/>
        </w:rPr>
        <w:t>strukturu řízení,</w:t>
      </w:r>
    </w:p>
    <w:p w14:paraId="5F738BEC" w14:textId="77777777" w:rsidR="00D5100A" w:rsidRPr="008A7D4D" w:rsidRDefault="00D5100A" w:rsidP="00D5100A">
      <w:pPr>
        <w:pStyle w:val="Nadpis11"/>
        <w:numPr>
          <w:ilvl w:val="0"/>
          <w:numId w:val="5"/>
        </w:numPr>
        <w:spacing w:after="12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 </w:t>
      </w:r>
      <w:r w:rsidRPr="008A7D4D">
        <w:rPr>
          <w:rFonts w:ascii="Arial" w:hAnsi="Arial" w:cs="Arial"/>
          <w:sz w:val="21"/>
          <w:szCs w:val="21"/>
        </w:rPr>
        <w:t xml:space="preserve">odměňování, </w:t>
      </w:r>
    </w:p>
    <w:p w14:paraId="6ECBC661" w14:textId="77777777" w:rsidR="00D5100A" w:rsidRPr="008A7D4D" w:rsidRDefault="00D5100A" w:rsidP="00D5100A">
      <w:pPr>
        <w:pStyle w:val="Nadpis11"/>
        <w:numPr>
          <w:ilvl w:val="0"/>
          <w:numId w:val="5"/>
        </w:numPr>
        <w:spacing w:after="12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 </w:t>
      </w:r>
      <w:r w:rsidRPr="008A7D4D">
        <w:rPr>
          <w:rFonts w:ascii="Arial" w:hAnsi="Arial" w:cs="Arial"/>
          <w:sz w:val="21"/>
          <w:szCs w:val="21"/>
        </w:rPr>
        <w:t>poskytování informací a transparentnost.</w:t>
      </w:r>
    </w:p>
    <w:p w14:paraId="1A867BCA" w14:textId="4C7F9F49" w:rsidR="00D5100A" w:rsidRPr="008A7D4D" w:rsidRDefault="00D5100A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zohledňuje </w:t>
      </w:r>
      <w:r>
        <w:rPr>
          <w:rFonts w:ascii="Arial" w:hAnsi="Arial" w:cs="Arial"/>
          <w:sz w:val="21"/>
          <w:szCs w:val="21"/>
        </w:rPr>
        <w:t>výše uvedené aspekty</w:t>
      </w:r>
      <w:r w:rsidRPr="008A7D4D">
        <w:rPr>
          <w:rFonts w:ascii="Arial" w:hAnsi="Arial" w:cs="Arial"/>
          <w:sz w:val="21"/>
          <w:szCs w:val="21"/>
        </w:rPr>
        <w:t xml:space="preserve"> od raných fází investičního procesu (zvažovaní nabytí příslušného aktiva) i v dalších fázích investičního procesu (předinvestiční prověrka). V případě, že shledá významné nedostatky v oblastech popsaných v čl. </w:t>
      </w:r>
      <w:r>
        <w:rPr>
          <w:rFonts w:ascii="Arial" w:hAnsi="Arial" w:cs="Arial"/>
          <w:sz w:val="21"/>
          <w:szCs w:val="21"/>
        </w:rPr>
        <w:t>2</w:t>
      </w:r>
      <w:r w:rsidRPr="008A7D4D">
        <w:rPr>
          <w:rFonts w:ascii="Arial" w:hAnsi="Arial" w:cs="Arial"/>
          <w:sz w:val="21"/>
          <w:szCs w:val="21"/>
        </w:rPr>
        <w:t>.</w:t>
      </w:r>
      <w:r w:rsidR="002949F7">
        <w:rPr>
          <w:rFonts w:ascii="Arial" w:hAnsi="Arial" w:cs="Arial"/>
          <w:sz w:val="21"/>
          <w:szCs w:val="21"/>
        </w:rPr>
        <w:t>3</w:t>
      </w:r>
      <w:r w:rsidRPr="008A7D4D">
        <w:rPr>
          <w:rFonts w:ascii="Arial" w:hAnsi="Arial" w:cs="Arial"/>
          <w:sz w:val="21"/>
          <w:szCs w:val="21"/>
        </w:rPr>
        <w:t xml:space="preserve"> této Politiky, </w:t>
      </w: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nepokračuje v akvizici daného aktiva (do doby odstranění takového nedostatku). </w:t>
      </w:r>
    </w:p>
    <w:p w14:paraId="3447B44C" w14:textId="10DB73F3" w:rsidR="00D5100A" w:rsidRDefault="00D5100A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 xml:space="preserve">Neexistují žádné záruky, že opatření, které </w:t>
      </w:r>
      <w:r>
        <w:rPr>
          <w:rFonts w:ascii="Arial" w:hAnsi="Arial" w:cs="Arial"/>
          <w:sz w:val="21"/>
          <w:szCs w:val="21"/>
        </w:rPr>
        <w:t>Společnost</w:t>
      </w:r>
      <w:r w:rsidRPr="008A7D4D">
        <w:rPr>
          <w:rFonts w:ascii="Arial" w:hAnsi="Arial" w:cs="Arial"/>
          <w:sz w:val="21"/>
          <w:szCs w:val="21"/>
        </w:rPr>
        <w:t xml:space="preserve"> uplatňuje, zmírní rizika týkající se udržitelnosti ve vztahu k Fondům nebo jim zabrání. Pravděpodobný dopad skutečného nebo potenciálně významného negativního dopadu na hodnotu investice v důsledku environmentální, sociální nebo správní události nebo na podmínky návratnosti investice do Fondu se může v jednotlivých případech lišit a může záviset na nejrůznějších faktorech. </w:t>
      </w:r>
    </w:p>
    <w:p w14:paraId="3DDC9F20" w14:textId="22ED32C7" w:rsidR="00D5100A" w:rsidRPr="008A7D4D" w:rsidRDefault="00D5100A" w:rsidP="00D5100A">
      <w:pPr>
        <w:pStyle w:val="Nadpis11"/>
        <w:numPr>
          <w:ilvl w:val="1"/>
          <w:numId w:val="3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Informace o tom, jak Společnost či jiný správce, jehož fond Společnost distribuuje, přistupuje k udržitelnosti na úrovni konkrétního Fondu naleznete na webových stránkách Společnost</w:t>
      </w:r>
      <w:r w:rsidR="002949F7">
        <w:rPr>
          <w:rFonts w:ascii="Arial" w:hAnsi="Arial" w:cs="Arial"/>
          <w:sz w:val="21"/>
          <w:szCs w:val="21"/>
        </w:rPr>
        <w:t>i</w:t>
      </w:r>
      <w:r>
        <w:rPr>
          <w:rFonts w:ascii="Arial" w:hAnsi="Arial" w:cs="Arial"/>
          <w:sz w:val="21"/>
          <w:szCs w:val="21"/>
        </w:rPr>
        <w:t>.</w:t>
      </w:r>
    </w:p>
    <w:p w14:paraId="53D16E75" w14:textId="77777777" w:rsidR="00D5100A" w:rsidRPr="008A7D4D" w:rsidRDefault="00D5100A" w:rsidP="00D5100A">
      <w:pPr>
        <w:pStyle w:val="Nadpis11"/>
        <w:numPr>
          <w:ilvl w:val="0"/>
          <w:numId w:val="1"/>
        </w:numPr>
        <w:spacing w:before="240" w:after="120"/>
        <w:ind w:left="567" w:hanging="567"/>
        <w:jc w:val="both"/>
        <w:rPr>
          <w:rFonts w:ascii="Arial" w:hAnsi="Arial" w:cs="Arial"/>
          <w:b/>
          <w:sz w:val="21"/>
          <w:szCs w:val="21"/>
        </w:rPr>
      </w:pPr>
      <w:r w:rsidRPr="008A7D4D">
        <w:rPr>
          <w:rFonts w:ascii="Arial" w:hAnsi="Arial" w:cs="Arial"/>
          <w:b/>
          <w:sz w:val="21"/>
          <w:szCs w:val="21"/>
        </w:rPr>
        <w:t>Rizika udržitelnosti</w:t>
      </w:r>
    </w:p>
    <w:p w14:paraId="2487648F" w14:textId="77777777" w:rsidR="00D5100A" w:rsidRPr="008A7D4D" w:rsidRDefault="00D5100A" w:rsidP="00D5100A">
      <w:pPr>
        <w:pStyle w:val="Nadpis11"/>
        <w:numPr>
          <w:ilvl w:val="1"/>
          <w:numId w:val="6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 xml:space="preserve">Potenciální dopady rizik udržitelnosti na výnosy příslušného Fondu závisí na celkové expozici daného Fondu vůči konkrétní investici a na závažnosti rizik týkajících se udržitelnosti. </w:t>
      </w:r>
    </w:p>
    <w:p w14:paraId="7929848F" w14:textId="77777777" w:rsidR="00D5100A" w:rsidRPr="008A7D4D" w:rsidRDefault="00D5100A" w:rsidP="00D5100A">
      <w:pPr>
        <w:pStyle w:val="Nadpis11"/>
        <w:numPr>
          <w:ilvl w:val="1"/>
          <w:numId w:val="6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 xml:space="preserve">Posouzení rizika udržitelnosti je do určité míry nevyhnutelně subjektivní a nelze zaručit, že všechny investice Fondu, a to i ty, které začlení řízení rizik udržitelnosti do svých procesů výběru investic, budou odrážet přesvědčení nebo hodnoty konkrétního investora v oblasti udržitelných investic. </w:t>
      </w:r>
    </w:p>
    <w:p w14:paraId="48CF4E25" w14:textId="77777777" w:rsidR="00D5100A" w:rsidRPr="008A7D4D" w:rsidRDefault="00D5100A" w:rsidP="00D5100A">
      <w:pPr>
        <w:pStyle w:val="Nadpis11"/>
        <w:numPr>
          <w:ilvl w:val="1"/>
          <w:numId w:val="6"/>
        </w:numPr>
        <w:spacing w:after="120"/>
        <w:ind w:left="567" w:hanging="567"/>
        <w:jc w:val="both"/>
        <w:rPr>
          <w:rFonts w:ascii="Arial" w:hAnsi="Arial" w:cs="Arial"/>
          <w:sz w:val="21"/>
          <w:szCs w:val="21"/>
        </w:rPr>
      </w:pPr>
      <w:r w:rsidRPr="008A7D4D">
        <w:rPr>
          <w:rFonts w:ascii="Arial" w:hAnsi="Arial" w:cs="Arial"/>
          <w:sz w:val="21"/>
          <w:szCs w:val="21"/>
        </w:rPr>
        <w:t>Kromě toho se okolnosti, za nichž rizika udržitelnosti nejsou nebo nemohou být začleněna do investičního rozhodování nebo posouzení samotného rizika udržitelnosti, mohou v průběhu času měnit v závislosti na dostupnosti příslušných údajů nebo jiných informací, které mohou být k dispozici.</w:t>
      </w:r>
    </w:p>
    <w:p w14:paraId="53F5C65E" w14:textId="77777777" w:rsidR="00D5100A" w:rsidRPr="008A7D4D" w:rsidRDefault="00D5100A" w:rsidP="00D5100A">
      <w:pPr>
        <w:pStyle w:val="Nadpis11"/>
        <w:numPr>
          <w:ilvl w:val="0"/>
          <w:numId w:val="1"/>
        </w:numPr>
        <w:spacing w:before="240" w:after="120"/>
        <w:ind w:left="567" w:hanging="567"/>
        <w:jc w:val="both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Odměňování</w:t>
      </w:r>
    </w:p>
    <w:p w14:paraId="16C7F7B1" w14:textId="08EA148C" w:rsidR="00D5100A" w:rsidRDefault="00D5100A" w:rsidP="00D5100A">
      <w:pPr>
        <w:pStyle w:val="Nadpis11"/>
        <w:spacing w:after="12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Společnost</w:t>
      </w:r>
      <w:r w:rsidRPr="001E3BB6">
        <w:rPr>
          <w:rFonts w:ascii="Arial" w:hAnsi="Arial" w:cs="Arial"/>
          <w:sz w:val="21"/>
          <w:szCs w:val="21"/>
        </w:rPr>
        <w:t xml:space="preserve"> nepodněcuje </w:t>
      </w:r>
      <w:r>
        <w:rPr>
          <w:rFonts w:ascii="Arial" w:hAnsi="Arial" w:cs="Arial"/>
          <w:sz w:val="21"/>
          <w:szCs w:val="21"/>
        </w:rPr>
        <w:t>p</w:t>
      </w:r>
      <w:r w:rsidRPr="001E3BB6">
        <w:rPr>
          <w:rFonts w:ascii="Arial" w:hAnsi="Arial" w:cs="Arial"/>
          <w:sz w:val="21"/>
          <w:szCs w:val="21"/>
        </w:rPr>
        <w:t>racovníky k nadměrnému podstupování rizik ve vztahu k rizikům týkajícím se udržitelnosti.</w:t>
      </w:r>
      <w:r>
        <w:rPr>
          <w:rFonts w:ascii="Arial" w:hAnsi="Arial" w:cs="Arial"/>
          <w:sz w:val="21"/>
          <w:szCs w:val="21"/>
        </w:rPr>
        <w:t xml:space="preserve"> Společnost </w:t>
      </w:r>
      <w:r w:rsidRPr="001E3BB6">
        <w:rPr>
          <w:rFonts w:ascii="Arial" w:hAnsi="Arial" w:cs="Arial"/>
          <w:sz w:val="21"/>
          <w:szCs w:val="21"/>
        </w:rPr>
        <w:t>vnitřním předpisem zavedla a uplatňuje systém pro odměňování zaměstnanců a vedoucích osob</w:t>
      </w:r>
      <w:r>
        <w:rPr>
          <w:rFonts w:ascii="Arial" w:hAnsi="Arial" w:cs="Arial"/>
          <w:sz w:val="21"/>
          <w:szCs w:val="21"/>
        </w:rPr>
        <w:t xml:space="preserve">. </w:t>
      </w:r>
      <w:r w:rsidRPr="001E3BB6">
        <w:rPr>
          <w:rFonts w:ascii="Arial" w:hAnsi="Arial" w:cs="Arial"/>
          <w:sz w:val="21"/>
          <w:szCs w:val="21"/>
        </w:rPr>
        <w:t>Specifické postupy pro odměňování se pak uplatní ve vztahu k těm pracovníkům, kteří mají významný vliv na rizika, kterým může být vystavena Společnost nebo Fond.</w:t>
      </w:r>
    </w:p>
    <w:sectPr w:rsidR="00D5100A" w:rsidSect="00F863B8">
      <w:pgSz w:w="11906" w:h="16838"/>
      <w:pgMar w:top="851" w:right="1417" w:bottom="1135" w:left="1417" w:header="1984" w:footer="982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Veronika Jůvová" w:date="2023-04-14T16:31:00Z" w:initials="VJ">
    <w:p w14:paraId="2C48AF18" w14:textId="77777777" w:rsidR="00D5100A" w:rsidRDefault="00D5100A" w:rsidP="00E33BFD">
      <w:pPr>
        <w:pStyle w:val="CommentText"/>
        <w:jc w:val="left"/>
      </w:pPr>
      <w:r>
        <w:rPr>
          <w:rStyle w:val="CommentReference"/>
        </w:rPr>
        <w:annotationRef/>
      </w:r>
      <w:r>
        <w:t xml:space="preserve">Doplnit verzi dokumentu, zároveň je třeba uvést datum schválení tohoto dokumentu.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C48AF1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E3FE76" w16cex:dateUtc="2023-04-14T14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C48AF18" w16cid:durableId="27E3FE7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F29BA" w14:textId="77777777" w:rsidR="00D5100A" w:rsidRDefault="00D5100A" w:rsidP="00D5100A">
      <w:pPr>
        <w:spacing w:after="0" w:line="240" w:lineRule="auto"/>
      </w:pPr>
      <w:r>
        <w:separator/>
      </w:r>
    </w:p>
  </w:endnote>
  <w:endnote w:type="continuationSeparator" w:id="0">
    <w:p w14:paraId="78DCFA78" w14:textId="77777777" w:rsidR="00D5100A" w:rsidRDefault="00D5100A" w:rsidP="00D51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461B0" w14:textId="77777777" w:rsidR="00D5100A" w:rsidRDefault="00D5100A" w:rsidP="00D5100A">
      <w:pPr>
        <w:spacing w:after="0" w:line="240" w:lineRule="auto"/>
      </w:pPr>
      <w:r>
        <w:separator/>
      </w:r>
    </w:p>
  </w:footnote>
  <w:footnote w:type="continuationSeparator" w:id="0">
    <w:p w14:paraId="1EA0D248" w14:textId="77777777" w:rsidR="00D5100A" w:rsidRDefault="00D5100A" w:rsidP="00D510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0663F"/>
    <w:multiLevelType w:val="hybridMultilevel"/>
    <w:tmpl w:val="794E4678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1616EEF"/>
    <w:multiLevelType w:val="multilevel"/>
    <w:tmpl w:val="39A27F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233D1192"/>
    <w:multiLevelType w:val="hybridMultilevel"/>
    <w:tmpl w:val="948C6DEC"/>
    <w:lvl w:ilvl="0" w:tplc="56A2FB2A">
      <w:start w:val="1"/>
      <w:numFmt w:val="decimal"/>
      <w:lvlText w:val="1.%1."/>
      <w:lvlJc w:val="left"/>
      <w:pPr>
        <w:ind w:left="2844" w:hanging="360"/>
      </w:pPr>
      <w:rPr>
        <w:rFonts w:hint="default"/>
        <w:color w:val="auto"/>
        <w:sz w:val="21"/>
        <w:szCs w:val="21"/>
      </w:rPr>
    </w:lvl>
    <w:lvl w:ilvl="1" w:tplc="04050019" w:tentative="1">
      <w:start w:val="1"/>
      <w:numFmt w:val="lowerLetter"/>
      <w:lvlText w:val="%2."/>
      <w:lvlJc w:val="left"/>
      <w:pPr>
        <w:ind w:left="3564" w:hanging="360"/>
      </w:pPr>
    </w:lvl>
    <w:lvl w:ilvl="2" w:tplc="0405001B" w:tentative="1">
      <w:start w:val="1"/>
      <w:numFmt w:val="lowerRoman"/>
      <w:lvlText w:val="%3."/>
      <w:lvlJc w:val="right"/>
      <w:pPr>
        <w:ind w:left="4284" w:hanging="180"/>
      </w:pPr>
    </w:lvl>
    <w:lvl w:ilvl="3" w:tplc="0405000F" w:tentative="1">
      <w:start w:val="1"/>
      <w:numFmt w:val="decimal"/>
      <w:lvlText w:val="%4."/>
      <w:lvlJc w:val="left"/>
      <w:pPr>
        <w:ind w:left="5004" w:hanging="360"/>
      </w:pPr>
    </w:lvl>
    <w:lvl w:ilvl="4" w:tplc="04050019" w:tentative="1">
      <w:start w:val="1"/>
      <w:numFmt w:val="lowerLetter"/>
      <w:lvlText w:val="%5."/>
      <w:lvlJc w:val="left"/>
      <w:pPr>
        <w:ind w:left="5724" w:hanging="360"/>
      </w:pPr>
    </w:lvl>
    <w:lvl w:ilvl="5" w:tplc="0405001B" w:tentative="1">
      <w:start w:val="1"/>
      <w:numFmt w:val="lowerRoman"/>
      <w:lvlText w:val="%6."/>
      <w:lvlJc w:val="right"/>
      <w:pPr>
        <w:ind w:left="6444" w:hanging="180"/>
      </w:pPr>
    </w:lvl>
    <w:lvl w:ilvl="6" w:tplc="0405000F" w:tentative="1">
      <w:start w:val="1"/>
      <w:numFmt w:val="decimal"/>
      <w:lvlText w:val="%7."/>
      <w:lvlJc w:val="left"/>
      <w:pPr>
        <w:ind w:left="7164" w:hanging="360"/>
      </w:pPr>
    </w:lvl>
    <w:lvl w:ilvl="7" w:tplc="04050019" w:tentative="1">
      <w:start w:val="1"/>
      <w:numFmt w:val="lowerLetter"/>
      <w:lvlText w:val="%8."/>
      <w:lvlJc w:val="left"/>
      <w:pPr>
        <w:ind w:left="7884" w:hanging="360"/>
      </w:pPr>
    </w:lvl>
    <w:lvl w:ilvl="8" w:tplc="0405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" w15:restartNumberingAfterBreak="0">
    <w:nsid w:val="38C47D13"/>
    <w:multiLevelType w:val="multilevel"/>
    <w:tmpl w:val="0C1613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4" w15:restartNumberingAfterBreak="0">
    <w:nsid w:val="69A8308E"/>
    <w:multiLevelType w:val="multilevel"/>
    <w:tmpl w:val="EDBCE48E"/>
    <w:lvl w:ilvl="0">
      <w:start w:val="1"/>
      <w:numFmt w:val="upperRoman"/>
      <w:lvlText w:val="%1."/>
      <w:lvlJc w:val="left"/>
      <w:pPr>
        <w:ind w:left="0" w:firstLine="0"/>
      </w:pPr>
      <w:rPr>
        <w:rFonts w:ascii="Arial" w:hAnsi="Arial" w:cs="Arial" w:hint="default"/>
        <w:b/>
        <w:sz w:val="20"/>
        <w:szCs w:val="20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ascii="Verdana" w:eastAsiaTheme="minorHAnsi" w:hAnsi="Verdana" w:cstheme="minorBidi"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76E75DC7"/>
    <w:multiLevelType w:val="hybridMultilevel"/>
    <w:tmpl w:val="C786D53E"/>
    <w:lvl w:ilvl="0" w:tplc="040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82348758">
    <w:abstractNumId w:val="4"/>
  </w:num>
  <w:num w:numId="2" w16cid:durableId="1757820489">
    <w:abstractNumId w:val="2"/>
  </w:num>
  <w:num w:numId="3" w16cid:durableId="339048511">
    <w:abstractNumId w:val="3"/>
  </w:num>
  <w:num w:numId="4" w16cid:durableId="336227237">
    <w:abstractNumId w:val="5"/>
  </w:num>
  <w:num w:numId="5" w16cid:durableId="1739087356">
    <w:abstractNumId w:val="0"/>
  </w:num>
  <w:num w:numId="6" w16cid:durableId="74711845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Veronika Jůvová">
    <w15:presenceInfo w15:providerId="None" w15:userId="Veronika Jůvová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00A"/>
    <w:rsid w:val="00027C71"/>
    <w:rsid w:val="000D65FA"/>
    <w:rsid w:val="002949F7"/>
    <w:rsid w:val="00327D3E"/>
    <w:rsid w:val="009A01B7"/>
    <w:rsid w:val="009D26B1"/>
    <w:rsid w:val="00CF4D1B"/>
    <w:rsid w:val="00D5100A"/>
    <w:rsid w:val="00E85FC5"/>
    <w:rsid w:val="00F8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11B2D4"/>
  <w15:docId w15:val="{82BCA8B3-1F88-4993-81C2-9CC38653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00A"/>
    <w:pPr>
      <w:jc w:val="both"/>
    </w:pPr>
    <w:rPr>
      <w:rFonts w:ascii="Tahoma" w:hAnsi="Tahoma" w:cs="Tahom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1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00A"/>
    <w:rPr>
      <w:rFonts w:ascii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D51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00A"/>
    <w:rPr>
      <w:rFonts w:ascii="Tahoma" w:hAnsi="Tahoma" w:cs="Tahoma"/>
    </w:rPr>
  </w:style>
  <w:style w:type="character" w:styleId="Hyperlink">
    <w:name w:val="Hyperlink"/>
    <w:basedOn w:val="DefaultParagraphFont"/>
    <w:uiPriority w:val="99"/>
    <w:unhideWhenUsed/>
    <w:rsid w:val="00D5100A"/>
    <w:rPr>
      <w:color w:val="0563C1" w:themeColor="hyperlink"/>
      <w:u w:val="single"/>
    </w:rPr>
  </w:style>
  <w:style w:type="paragraph" w:customStyle="1" w:styleId="Nadpis11">
    <w:name w:val="Nadpis 11"/>
    <w:basedOn w:val="Normal"/>
    <w:rsid w:val="00D5100A"/>
    <w:pPr>
      <w:spacing w:after="200" w:line="276" w:lineRule="auto"/>
      <w:jc w:val="left"/>
    </w:pPr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D510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10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100A"/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63B8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3B8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A01B7"/>
    <w:pPr>
      <w:spacing w:after="0" w:line="240" w:lineRule="auto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811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Conseq Investment Management a.s.</Company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Jůvová</dc:creator>
  <cp:lastModifiedBy>Markéta Káchová</cp:lastModifiedBy>
  <cp:revision>6</cp:revision>
  <cp:lastPrinted>2023-06-05T16:03:00Z</cp:lastPrinted>
  <dcterms:created xsi:type="dcterms:W3CDTF">2024-08-16T14:42:00Z</dcterms:created>
  <dcterms:modified xsi:type="dcterms:W3CDTF">2024-11-12T15:46:00Z</dcterms:modified>
</cp:coreProperties>
</file>